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301A" w:rsidRDefault="000F301A" w:rsidP="00D233A9">
      <w:pPr>
        <w:spacing w:after="240" w:line="240" w:lineRule="atLeast"/>
        <w:ind w:right="283"/>
        <w:rPr>
          <w:rFonts w:ascii="Verdana" w:hAnsi="Verdana"/>
          <w:b/>
          <w:bCs/>
          <w:sz w:val="20"/>
          <w:szCs w:val="20"/>
        </w:rPr>
      </w:pPr>
    </w:p>
    <w:p w:rsidR="000F301A" w:rsidRPr="000F301A" w:rsidRDefault="00A3447D" w:rsidP="000F301A">
      <w:pPr>
        <w:spacing w:after="240" w:line="240" w:lineRule="atLeast"/>
        <w:ind w:right="283"/>
        <w:rPr>
          <w:rFonts w:ascii="Verdana" w:hAnsi="Verdana"/>
          <w:b/>
          <w:sz w:val="24"/>
          <w:szCs w:val="24"/>
        </w:rPr>
      </w:pPr>
      <w:r>
        <w:rPr>
          <w:rFonts w:ascii="Verdana" w:hAnsi="Verdana"/>
          <w:b/>
          <w:sz w:val="24"/>
          <w:szCs w:val="24"/>
        </w:rPr>
        <w:t xml:space="preserve">Feiten omtrent </w:t>
      </w:r>
      <w:r w:rsidR="000F301A" w:rsidRPr="000F301A">
        <w:rPr>
          <w:rFonts w:ascii="Verdana" w:hAnsi="Verdana"/>
          <w:b/>
          <w:sz w:val="24"/>
          <w:szCs w:val="24"/>
        </w:rPr>
        <w:t xml:space="preserve">de </w:t>
      </w:r>
      <w:proofErr w:type="spellStart"/>
      <w:r w:rsidR="000F301A" w:rsidRPr="000F301A">
        <w:rPr>
          <w:rFonts w:ascii="Verdana" w:hAnsi="Verdana"/>
          <w:b/>
          <w:sz w:val="24"/>
          <w:szCs w:val="24"/>
        </w:rPr>
        <w:t>COVRA</w:t>
      </w:r>
      <w:r w:rsidR="00CB3F91">
        <w:rPr>
          <w:rFonts w:ascii="Verdana" w:hAnsi="Verdana"/>
          <w:b/>
          <w:sz w:val="24"/>
          <w:szCs w:val="24"/>
        </w:rPr>
        <w:t>-</w:t>
      </w:r>
      <w:r w:rsidR="000F301A" w:rsidRPr="000F301A">
        <w:rPr>
          <w:rFonts w:ascii="Verdana" w:hAnsi="Verdana"/>
          <w:b/>
          <w:sz w:val="24"/>
          <w:szCs w:val="24"/>
        </w:rPr>
        <w:t>vervoersvergunning</w:t>
      </w:r>
      <w:proofErr w:type="spellEnd"/>
    </w:p>
    <w:p w:rsidR="00041658" w:rsidRDefault="00D233A9" w:rsidP="00041658">
      <w:pPr>
        <w:spacing w:after="240" w:line="240" w:lineRule="atLeast"/>
        <w:ind w:right="283"/>
        <w:rPr>
          <w:rFonts w:ascii="Verdana" w:hAnsi="Verdana"/>
          <w:bCs/>
          <w:sz w:val="20"/>
          <w:szCs w:val="20"/>
        </w:rPr>
      </w:pPr>
      <w:r w:rsidRPr="00D233A9">
        <w:rPr>
          <w:rFonts w:ascii="Verdana" w:hAnsi="Verdana"/>
          <w:b/>
          <w:bCs/>
          <w:sz w:val="20"/>
          <w:szCs w:val="20"/>
        </w:rPr>
        <w:t>Feiten</w:t>
      </w:r>
      <w:r w:rsidRPr="00D233A9">
        <w:rPr>
          <w:rFonts w:ascii="Verdana" w:hAnsi="Verdana"/>
          <w:sz w:val="20"/>
          <w:szCs w:val="20"/>
        </w:rPr>
        <w:br/>
      </w:r>
      <w:r w:rsidR="00041658">
        <w:rPr>
          <w:rFonts w:ascii="Verdana" w:hAnsi="Verdana"/>
          <w:sz w:val="20"/>
          <w:szCs w:val="20"/>
        </w:rPr>
        <w:t xml:space="preserve">De berichtgeving in de media </w:t>
      </w:r>
      <w:r w:rsidRPr="00D233A9">
        <w:rPr>
          <w:rFonts w:ascii="Verdana" w:hAnsi="Verdana"/>
          <w:sz w:val="20"/>
          <w:szCs w:val="20"/>
        </w:rPr>
        <w:t>bevat een aantal feitelijke onjuistheden.</w:t>
      </w:r>
      <w:r w:rsidR="00041658">
        <w:rPr>
          <w:rFonts w:ascii="Verdana" w:hAnsi="Verdana"/>
          <w:sz w:val="20"/>
          <w:szCs w:val="20"/>
        </w:rPr>
        <w:t xml:space="preserve"> </w:t>
      </w:r>
      <w:r w:rsidRPr="00D233A9">
        <w:rPr>
          <w:rFonts w:ascii="Verdana" w:hAnsi="Verdana"/>
          <w:bCs/>
          <w:sz w:val="20"/>
          <w:szCs w:val="20"/>
        </w:rPr>
        <w:t>De beperkingen waaronder een vergunning op grond van de Kernenergiewet is verleend, kunnen op verzoek van de aanvrager worden gewijzigd.</w:t>
      </w:r>
    </w:p>
    <w:p w:rsidR="00D233A9" w:rsidRPr="00D233A9" w:rsidRDefault="00D233A9" w:rsidP="00041658">
      <w:pPr>
        <w:spacing w:after="240" w:line="240" w:lineRule="atLeast"/>
        <w:ind w:right="283"/>
        <w:rPr>
          <w:rFonts w:ascii="Verdana" w:hAnsi="Verdana"/>
          <w:b/>
          <w:bCs/>
          <w:sz w:val="20"/>
          <w:szCs w:val="20"/>
          <w:u w:val="single"/>
        </w:rPr>
      </w:pPr>
      <w:r w:rsidRPr="00D233A9">
        <w:rPr>
          <w:rFonts w:ascii="Verdana" w:hAnsi="Verdana"/>
          <w:b/>
          <w:bCs/>
          <w:sz w:val="20"/>
          <w:szCs w:val="20"/>
          <w:u w:val="single"/>
        </w:rPr>
        <w:t>COVRA vervoersvergunning</w:t>
      </w:r>
    </w:p>
    <w:p w:rsidR="00D233A9" w:rsidRPr="00D233A9" w:rsidRDefault="00D233A9" w:rsidP="00D233A9">
      <w:pPr>
        <w:numPr>
          <w:ilvl w:val="0"/>
          <w:numId w:val="3"/>
        </w:numPr>
        <w:spacing w:after="240" w:line="240" w:lineRule="atLeast"/>
        <w:ind w:right="283"/>
        <w:rPr>
          <w:rFonts w:ascii="Verdana" w:hAnsi="Verdana"/>
          <w:bCs/>
          <w:sz w:val="20"/>
          <w:szCs w:val="20"/>
        </w:rPr>
      </w:pPr>
      <w:r w:rsidRPr="00D233A9">
        <w:rPr>
          <w:rFonts w:ascii="Verdana" w:hAnsi="Verdana"/>
          <w:bCs/>
          <w:sz w:val="20"/>
          <w:szCs w:val="20"/>
        </w:rPr>
        <w:t>Er is geen sprake van dat er een trein is aangekomen afgelopen woensdag op COVRA met nucleair afval. Het betreft een transport over de weg van twee overtollige radioactieve bronnen.</w:t>
      </w:r>
    </w:p>
    <w:p w:rsidR="00D233A9" w:rsidRPr="00D233A9" w:rsidRDefault="00D233A9" w:rsidP="00D233A9">
      <w:pPr>
        <w:numPr>
          <w:ilvl w:val="0"/>
          <w:numId w:val="2"/>
        </w:numPr>
        <w:spacing w:after="240" w:line="240" w:lineRule="atLeast"/>
        <w:ind w:left="993" w:right="283" w:hanging="284"/>
        <w:rPr>
          <w:rFonts w:ascii="Verdana" w:hAnsi="Verdana"/>
          <w:bCs/>
          <w:sz w:val="20"/>
          <w:szCs w:val="20"/>
        </w:rPr>
      </w:pPr>
      <w:r w:rsidRPr="00D233A9">
        <w:rPr>
          <w:rFonts w:ascii="Verdana" w:hAnsi="Verdana"/>
          <w:bCs/>
          <w:sz w:val="20"/>
          <w:szCs w:val="20"/>
        </w:rPr>
        <w:t xml:space="preserve">De ANVS heeft op 20 juli vergunning verleend voor het vervoer van deze twee bronnen van </w:t>
      </w:r>
      <w:proofErr w:type="spellStart"/>
      <w:r w:rsidRPr="00D233A9">
        <w:rPr>
          <w:rFonts w:ascii="Verdana" w:hAnsi="Verdana"/>
          <w:bCs/>
          <w:sz w:val="20"/>
          <w:szCs w:val="20"/>
        </w:rPr>
        <w:t>Nuclear</w:t>
      </w:r>
      <w:proofErr w:type="spellEnd"/>
      <w:r w:rsidRPr="00D233A9">
        <w:rPr>
          <w:rFonts w:ascii="Verdana" w:hAnsi="Verdana"/>
          <w:bCs/>
          <w:sz w:val="20"/>
          <w:szCs w:val="20"/>
        </w:rPr>
        <w:t xml:space="preserve"> Research Group (NRG) te Petten naar COVRA te Vlissingen. </w:t>
      </w:r>
    </w:p>
    <w:p w:rsidR="00D233A9" w:rsidRPr="00D233A9" w:rsidRDefault="00D233A9" w:rsidP="00D233A9">
      <w:pPr>
        <w:numPr>
          <w:ilvl w:val="0"/>
          <w:numId w:val="2"/>
        </w:numPr>
        <w:spacing w:after="240" w:line="240" w:lineRule="atLeast"/>
        <w:ind w:left="993" w:right="283" w:hanging="284"/>
        <w:rPr>
          <w:rFonts w:ascii="Verdana" w:hAnsi="Verdana"/>
          <w:bCs/>
          <w:sz w:val="20"/>
          <w:szCs w:val="20"/>
        </w:rPr>
      </w:pPr>
      <w:r w:rsidRPr="00D233A9">
        <w:rPr>
          <w:rFonts w:ascii="Verdana" w:hAnsi="Verdana"/>
          <w:bCs/>
          <w:sz w:val="20"/>
          <w:szCs w:val="20"/>
        </w:rPr>
        <w:t xml:space="preserve">Op 10 november 2016 bleek bij een inspectie door de ANVS en ILT voorafgaand aan het transport dat de transportindex van 1 van de bronnen  na meting hoger te zijn dan aangevraagd. Het transport heeft daarom niet plaatsgevonden. </w:t>
      </w:r>
    </w:p>
    <w:p w:rsidR="00D233A9" w:rsidRPr="00D233A9" w:rsidRDefault="00D233A9" w:rsidP="00D233A9">
      <w:pPr>
        <w:numPr>
          <w:ilvl w:val="0"/>
          <w:numId w:val="2"/>
        </w:numPr>
        <w:spacing w:after="240" w:line="240" w:lineRule="atLeast"/>
        <w:ind w:left="993" w:right="283" w:hanging="284"/>
        <w:rPr>
          <w:rFonts w:ascii="Verdana" w:hAnsi="Verdana"/>
          <w:bCs/>
          <w:sz w:val="20"/>
          <w:szCs w:val="20"/>
        </w:rPr>
      </w:pPr>
      <w:r w:rsidRPr="00D233A9">
        <w:rPr>
          <w:rFonts w:ascii="Verdana" w:hAnsi="Verdana"/>
          <w:bCs/>
          <w:sz w:val="20"/>
          <w:szCs w:val="20"/>
        </w:rPr>
        <w:t xml:space="preserve">COVRA heeft vervolgens een verzoek tot wijziging gedaan van de vergunning voor een hogere transportindex. De transportveiligheid blijft ook met een hogere transportindex gewaarborgd en derhalve doet zich geen </w:t>
      </w:r>
      <w:proofErr w:type="spellStart"/>
      <w:r w:rsidRPr="00D233A9">
        <w:rPr>
          <w:rFonts w:ascii="Verdana" w:hAnsi="Verdana"/>
          <w:bCs/>
          <w:sz w:val="20"/>
          <w:szCs w:val="20"/>
        </w:rPr>
        <w:t>weigeringsgrond</w:t>
      </w:r>
      <w:proofErr w:type="spellEnd"/>
      <w:r w:rsidRPr="00D233A9">
        <w:rPr>
          <w:rFonts w:ascii="Verdana" w:hAnsi="Verdana"/>
          <w:bCs/>
          <w:sz w:val="20"/>
          <w:szCs w:val="20"/>
        </w:rPr>
        <w:t xml:space="preserve"> op grond van de </w:t>
      </w:r>
      <w:proofErr w:type="spellStart"/>
      <w:r w:rsidRPr="00D233A9">
        <w:rPr>
          <w:rFonts w:ascii="Verdana" w:hAnsi="Verdana"/>
          <w:bCs/>
          <w:sz w:val="20"/>
          <w:szCs w:val="20"/>
        </w:rPr>
        <w:t>Kew</w:t>
      </w:r>
      <w:proofErr w:type="spellEnd"/>
      <w:r w:rsidRPr="00D233A9">
        <w:rPr>
          <w:rFonts w:ascii="Verdana" w:hAnsi="Verdana"/>
          <w:bCs/>
          <w:sz w:val="20"/>
          <w:szCs w:val="20"/>
        </w:rPr>
        <w:t xml:space="preserve"> zich voor. Het wijzigen van de transportindex heeft niet geleid tot andere of aangepaste voorschriften in de vervoersvergunning.</w:t>
      </w:r>
      <w:r w:rsidRPr="00D233A9">
        <w:rPr>
          <w:rFonts w:ascii="Verdana" w:hAnsi="Verdana"/>
          <w:sz w:val="20"/>
          <w:szCs w:val="20"/>
        </w:rPr>
        <w:t xml:space="preserve"> </w:t>
      </w:r>
    </w:p>
    <w:p w:rsidR="00D233A9" w:rsidRPr="00D233A9" w:rsidRDefault="00D233A9" w:rsidP="00D233A9">
      <w:pPr>
        <w:numPr>
          <w:ilvl w:val="0"/>
          <w:numId w:val="2"/>
        </w:numPr>
        <w:spacing w:after="240" w:line="240" w:lineRule="atLeast"/>
        <w:ind w:left="993" w:right="283" w:hanging="284"/>
        <w:rPr>
          <w:rFonts w:ascii="Verdana" w:hAnsi="Verdana"/>
          <w:bCs/>
          <w:sz w:val="20"/>
          <w:szCs w:val="20"/>
        </w:rPr>
      </w:pPr>
      <w:r w:rsidRPr="00D233A9">
        <w:rPr>
          <w:rFonts w:ascii="Verdana" w:hAnsi="Verdana"/>
          <w:bCs/>
          <w:sz w:val="20"/>
          <w:szCs w:val="20"/>
        </w:rPr>
        <w:t xml:space="preserve">Op 15 november 2016 is de vervoersvergunning gewijzigd. </w:t>
      </w:r>
    </w:p>
    <w:p w:rsidR="00D233A9" w:rsidRPr="00D233A9" w:rsidRDefault="00D233A9" w:rsidP="00D233A9">
      <w:pPr>
        <w:numPr>
          <w:ilvl w:val="0"/>
          <w:numId w:val="2"/>
        </w:numPr>
        <w:spacing w:after="240" w:line="240" w:lineRule="atLeast"/>
        <w:ind w:left="993" w:right="283" w:hanging="284"/>
        <w:rPr>
          <w:rFonts w:ascii="Verdana" w:hAnsi="Verdana"/>
          <w:bCs/>
          <w:sz w:val="20"/>
          <w:szCs w:val="20"/>
        </w:rPr>
      </w:pPr>
      <w:r w:rsidRPr="00D233A9">
        <w:rPr>
          <w:rFonts w:ascii="Verdana" w:hAnsi="Verdana"/>
          <w:sz w:val="20"/>
          <w:szCs w:val="20"/>
        </w:rPr>
        <w:t xml:space="preserve">Op 23 november 2016 heeft na inspectie van de ANVS het transport plaatsgevonden. </w:t>
      </w:r>
    </w:p>
    <w:p w:rsidR="00D233A9" w:rsidRPr="00D233A9" w:rsidRDefault="00D233A9" w:rsidP="00041658">
      <w:pPr>
        <w:spacing w:after="240" w:line="240" w:lineRule="atLeast"/>
        <w:ind w:right="283"/>
        <w:rPr>
          <w:rFonts w:ascii="Verdana" w:hAnsi="Verdana"/>
          <w:bCs/>
          <w:sz w:val="20"/>
          <w:szCs w:val="20"/>
        </w:rPr>
      </w:pPr>
      <w:r w:rsidRPr="00D233A9">
        <w:rPr>
          <w:rFonts w:ascii="Verdana" w:hAnsi="Verdana"/>
          <w:bCs/>
          <w:sz w:val="20"/>
          <w:szCs w:val="20"/>
        </w:rPr>
        <w:t>Achtergrond:</w:t>
      </w:r>
    </w:p>
    <w:p w:rsidR="00D233A9" w:rsidRPr="00D233A9" w:rsidRDefault="00D233A9" w:rsidP="00041658">
      <w:pPr>
        <w:spacing w:after="240" w:line="240" w:lineRule="atLeast"/>
        <w:ind w:right="283"/>
        <w:rPr>
          <w:rFonts w:ascii="Verdana" w:hAnsi="Verdana"/>
          <w:bCs/>
          <w:sz w:val="20"/>
          <w:szCs w:val="20"/>
        </w:rPr>
      </w:pPr>
      <w:r w:rsidRPr="00D233A9">
        <w:rPr>
          <w:rFonts w:ascii="Verdana" w:hAnsi="Verdana"/>
          <w:bCs/>
          <w:sz w:val="20"/>
          <w:szCs w:val="20"/>
        </w:rPr>
        <w:t xml:space="preserve">De PZC refereert in haar artikel ook aan de vragen die in augustus door D66-kamerlid, Van </w:t>
      </w:r>
      <w:proofErr w:type="spellStart"/>
      <w:r w:rsidRPr="00D233A9">
        <w:rPr>
          <w:rFonts w:ascii="Verdana" w:hAnsi="Verdana"/>
          <w:bCs/>
          <w:sz w:val="20"/>
          <w:szCs w:val="20"/>
        </w:rPr>
        <w:t>Veldhoven</w:t>
      </w:r>
      <w:proofErr w:type="spellEnd"/>
      <w:r w:rsidRPr="00D233A9">
        <w:rPr>
          <w:rFonts w:ascii="Verdana" w:hAnsi="Verdana"/>
          <w:bCs/>
          <w:sz w:val="20"/>
          <w:szCs w:val="20"/>
        </w:rPr>
        <w:t xml:space="preserve">, zijn gesteld. Op 30 augustus 2016 heeft de Minister van I&amp;M antwoorden gegeven  op de schriftelijke vragen gesteld door het lid  Van </w:t>
      </w:r>
      <w:proofErr w:type="spellStart"/>
      <w:r w:rsidRPr="00D233A9">
        <w:rPr>
          <w:rFonts w:ascii="Verdana" w:hAnsi="Verdana"/>
          <w:bCs/>
          <w:sz w:val="20"/>
          <w:szCs w:val="20"/>
        </w:rPr>
        <w:t>Veldhoven</w:t>
      </w:r>
      <w:proofErr w:type="spellEnd"/>
      <w:r w:rsidRPr="00D233A9">
        <w:rPr>
          <w:rFonts w:ascii="Verdana" w:hAnsi="Verdana"/>
          <w:bCs/>
          <w:sz w:val="20"/>
          <w:szCs w:val="20"/>
        </w:rPr>
        <w:t xml:space="preserve"> over de verleende vergunning voor het vervoer van twee hoogradioactieve bronnen van NRG naar de COVRA en het bericht ‘Gevaarlijk nucleair afval wordt verkeerd vervoerd’.  In de antwoorden is aangegeven dat de vergunning juridisch en inhoudelijk correct zijn verleend, de verpakking voldoet aan internationale vervoerseisen en de transportveiligheid is gewaarborgd.</w:t>
      </w:r>
    </w:p>
    <w:p w:rsidR="00D233A9" w:rsidRDefault="00D233A9" w:rsidP="00A3447D">
      <w:pPr>
        <w:spacing w:after="240" w:line="240" w:lineRule="atLeast"/>
        <w:ind w:right="283"/>
        <w:rPr>
          <w:rFonts w:ascii="Verdana" w:hAnsi="Verdana"/>
          <w:bCs/>
          <w:sz w:val="20"/>
          <w:szCs w:val="20"/>
        </w:rPr>
      </w:pPr>
      <w:r w:rsidRPr="00D233A9">
        <w:rPr>
          <w:rFonts w:ascii="Verdana" w:hAnsi="Verdana"/>
          <w:bCs/>
          <w:sz w:val="20"/>
          <w:szCs w:val="20"/>
        </w:rPr>
        <w:t xml:space="preserve">Stichting LAKA had haar zorgen geuit over het vervoeren van de bronnen in, in haar ogen, te lichte transportverpakkingen. LAKA heeft in haar nieuwsbrief van 28 november 2016 ook aandacht besteed aan de wijziging van de vervoersvergunning van COVRA. Ook LAKA vermeldt in haar artikel feitelijke onjuistheden. In de nieuwsbrief van LAKA staat net als de PZC dat het om nucleair afval gaat. LAKA legt een link met het historisch afval dat bij NRG ligt. Deze 2 afgedankte radioactieve bronnen hebben echter niets te maken met nucleaire afval of het historische afval dat bij NRG ligt. Het gaat om twee bronnen die overtollig zijn en daarom op grond van de inrichtingsvergunning van NRG zo spoedig mogelijk afgevoerd moeten worden naar COVRA. LAKA is van mening dat de overtollig bronnen in te “lichte” verpakkingen </w:t>
      </w:r>
      <w:r w:rsidRPr="00D233A9">
        <w:rPr>
          <w:rFonts w:ascii="Verdana" w:hAnsi="Verdana"/>
          <w:bCs/>
          <w:sz w:val="20"/>
          <w:szCs w:val="20"/>
        </w:rPr>
        <w:lastRenderedPageBreak/>
        <w:t>worden afgevoerd naar de COVRA. Er is echter nooit sprake van vervoeren in te lichte verpakking. Het vervoeren van radioactief materiaal is gebonden aan internationale vervoerseisen. De ANVS heeft na beoordeling van de aanvraag vastgesteld dat het vervoer gerechtvaardigd is en veilig kan plaatsvinden in de transportverpakkingen die COVRA heeft aangevraagd, indien alle voorschriften van de vergunning worden nageleefd.</w:t>
      </w:r>
      <w:r w:rsidR="00A3447D">
        <w:rPr>
          <w:rFonts w:ascii="Verdana" w:hAnsi="Verdana"/>
          <w:bCs/>
          <w:sz w:val="20"/>
          <w:szCs w:val="20"/>
        </w:rPr>
        <w:t xml:space="preserve"> </w:t>
      </w:r>
    </w:p>
    <w:p w:rsidR="00A17C6E" w:rsidRPr="00F22CDC" w:rsidRDefault="00A17C6E">
      <w:pPr>
        <w:rPr>
          <w:rFonts w:ascii="Verdana" w:hAnsi="Verdana"/>
          <w:sz w:val="18"/>
          <w:szCs w:val="18"/>
        </w:rPr>
      </w:pPr>
    </w:p>
    <w:sectPr w:rsidR="00A17C6E" w:rsidRPr="00F22CDC" w:rsidSect="00A17C6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altName w:val="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A50C3"/>
    <w:multiLevelType w:val="hybridMultilevel"/>
    <w:tmpl w:val="FF1C8E64"/>
    <w:lvl w:ilvl="0" w:tplc="04130001">
      <w:start w:val="1"/>
      <w:numFmt w:val="bullet"/>
      <w:lvlText w:val=""/>
      <w:lvlJc w:val="left"/>
      <w:pPr>
        <w:ind w:left="1069" w:hanging="360"/>
      </w:pPr>
      <w:rPr>
        <w:rFonts w:ascii="Symbol" w:hAnsi="Symbol" w:hint="default"/>
      </w:rPr>
    </w:lvl>
    <w:lvl w:ilvl="1" w:tplc="04130003" w:tentative="1">
      <w:start w:val="1"/>
      <w:numFmt w:val="bullet"/>
      <w:lvlText w:val="o"/>
      <w:lvlJc w:val="left"/>
      <w:pPr>
        <w:ind w:left="1789" w:hanging="360"/>
      </w:pPr>
      <w:rPr>
        <w:rFonts w:ascii="Courier New" w:hAnsi="Courier New" w:cs="Courier New" w:hint="default"/>
      </w:rPr>
    </w:lvl>
    <w:lvl w:ilvl="2" w:tplc="04130005" w:tentative="1">
      <w:start w:val="1"/>
      <w:numFmt w:val="bullet"/>
      <w:lvlText w:val=""/>
      <w:lvlJc w:val="left"/>
      <w:pPr>
        <w:ind w:left="2509" w:hanging="360"/>
      </w:pPr>
      <w:rPr>
        <w:rFonts w:ascii="Wingdings" w:hAnsi="Wingdings" w:hint="default"/>
      </w:rPr>
    </w:lvl>
    <w:lvl w:ilvl="3" w:tplc="04130001" w:tentative="1">
      <w:start w:val="1"/>
      <w:numFmt w:val="bullet"/>
      <w:lvlText w:val=""/>
      <w:lvlJc w:val="left"/>
      <w:pPr>
        <w:ind w:left="3229" w:hanging="360"/>
      </w:pPr>
      <w:rPr>
        <w:rFonts w:ascii="Symbol" w:hAnsi="Symbol" w:hint="default"/>
      </w:rPr>
    </w:lvl>
    <w:lvl w:ilvl="4" w:tplc="04130003" w:tentative="1">
      <w:start w:val="1"/>
      <w:numFmt w:val="bullet"/>
      <w:lvlText w:val="o"/>
      <w:lvlJc w:val="left"/>
      <w:pPr>
        <w:ind w:left="3949" w:hanging="360"/>
      </w:pPr>
      <w:rPr>
        <w:rFonts w:ascii="Courier New" w:hAnsi="Courier New" w:cs="Courier New" w:hint="default"/>
      </w:rPr>
    </w:lvl>
    <w:lvl w:ilvl="5" w:tplc="04130005" w:tentative="1">
      <w:start w:val="1"/>
      <w:numFmt w:val="bullet"/>
      <w:lvlText w:val=""/>
      <w:lvlJc w:val="left"/>
      <w:pPr>
        <w:ind w:left="4669" w:hanging="360"/>
      </w:pPr>
      <w:rPr>
        <w:rFonts w:ascii="Wingdings" w:hAnsi="Wingdings" w:hint="default"/>
      </w:rPr>
    </w:lvl>
    <w:lvl w:ilvl="6" w:tplc="04130001" w:tentative="1">
      <w:start w:val="1"/>
      <w:numFmt w:val="bullet"/>
      <w:lvlText w:val=""/>
      <w:lvlJc w:val="left"/>
      <w:pPr>
        <w:ind w:left="5389" w:hanging="360"/>
      </w:pPr>
      <w:rPr>
        <w:rFonts w:ascii="Symbol" w:hAnsi="Symbol" w:hint="default"/>
      </w:rPr>
    </w:lvl>
    <w:lvl w:ilvl="7" w:tplc="04130003" w:tentative="1">
      <w:start w:val="1"/>
      <w:numFmt w:val="bullet"/>
      <w:lvlText w:val="o"/>
      <w:lvlJc w:val="left"/>
      <w:pPr>
        <w:ind w:left="6109" w:hanging="360"/>
      </w:pPr>
      <w:rPr>
        <w:rFonts w:ascii="Courier New" w:hAnsi="Courier New" w:cs="Courier New" w:hint="default"/>
      </w:rPr>
    </w:lvl>
    <w:lvl w:ilvl="8" w:tplc="04130005" w:tentative="1">
      <w:start w:val="1"/>
      <w:numFmt w:val="bullet"/>
      <w:lvlText w:val=""/>
      <w:lvlJc w:val="left"/>
      <w:pPr>
        <w:ind w:left="6829" w:hanging="360"/>
      </w:pPr>
      <w:rPr>
        <w:rFonts w:ascii="Wingdings" w:hAnsi="Wingdings" w:hint="default"/>
      </w:rPr>
    </w:lvl>
  </w:abstractNum>
  <w:abstractNum w:abstractNumId="1">
    <w:nsid w:val="2D2F1F9D"/>
    <w:multiLevelType w:val="hybridMultilevel"/>
    <w:tmpl w:val="819EFEEE"/>
    <w:lvl w:ilvl="0" w:tplc="E264C82A">
      <w:start w:val="1"/>
      <w:numFmt w:val="upperRoman"/>
      <w:lvlText w:val="%1."/>
      <w:lvlJc w:val="left"/>
      <w:pPr>
        <w:tabs>
          <w:tab w:val="num" w:pos="1080"/>
        </w:tabs>
        <w:ind w:left="1080" w:hanging="720"/>
      </w:pPr>
    </w:lvl>
    <w:lvl w:ilvl="1" w:tplc="04130019">
      <w:start w:val="1"/>
      <w:numFmt w:val="decimal"/>
      <w:lvlText w:val="%2."/>
      <w:lvlJc w:val="left"/>
      <w:pPr>
        <w:tabs>
          <w:tab w:val="num" w:pos="1440"/>
        </w:tabs>
        <w:ind w:left="1440" w:hanging="360"/>
      </w:pPr>
    </w:lvl>
    <w:lvl w:ilvl="2" w:tplc="0413001B">
      <w:start w:val="1"/>
      <w:numFmt w:val="decimal"/>
      <w:lvlText w:val="%3."/>
      <w:lvlJc w:val="left"/>
      <w:pPr>
        <w:tabs>
          <w:tab w:val="num" w:pos="2160"/>
        </w:tabs>
        <w:ind w:left="2160" w:hanging="360"/>
      </w:pPr>
    </w:lvl>
    <w:lvl w:ilvl="3" w:tplc="0413000F">
      <w:start w:val="1"/>
      <w:numFmt w:val="decimal"/>
      <w:lvlText w:val="%4."/>
      <w:lvlJc w:val="left"/>
      <w:pPr>
        <w:tabs>
          <w:tab w:val="num" w:pos="2880"/>
        </w:tabs>
        <w:ind w:left="2880" w:hanging="360"/>
      </w:pPr>
    </w:lvl>
    <w:lvl w:ilvl="4" w:tplc="04130019">
      <w:start w:val="1"/>
      <w:numFmt w:val="decimal"/>
      <w:lvlText w:val="%5."/>
      <w:lvlJc w:val="left"/>
      <w:pPr>
        <w:tabs>
          <w:tab w:val="num" w:pos="3600"/>
        </w:tabs>
        <w:ind w:left="3600" w:hanging="360"/>
      </w:pPr>
    </w:lvl>
    <w:lvl w:ilvl="5" w:tplc="0413001B">
      <w:start w:val="1"/>
      <w:numFmt w:val="decimal"/>
      <w:lvlText w:val="%6."/>
      <w:lvlJc w:val="left"/>
      <w:pPr>
        <w:tabs>
          <w:tab w:val="num" w:pos="4320"/>
        </w:tabs>
        <w:ind w:left="4320" w:hanging="360"/>
      </w:pPr>
    </w:lvl>
    <w:lvl w:ilvl="6" w:tplc="0413000F">
      <w:start w:val="1"/>
      <w:numFmt w:val="decimal"/>
      <w:lvlText w:val="%7."/>
      <w:lvlJc w:val="left"/>
      <w:pPr>
        <w:tabs>
          <w:tab w:val="num" w:pos="5040"/>
        </w:tabs>
        <w:ind w:left="5040" w:hanging="360"/>
      </w:pPr>
    </w:lvl>
    <w:lvl w:ilvl="7" w:tplc="04130019">
      <w:start w:val="1"/>
      <w:numFmt w:val="decimal"/>
      <w:lvlText w:val="%8."/>
      <w:lvlJc w:val="left"/>
      <w:pPr>
        <w:tabs>
          <w:tab w:val="num" w:pos="5760"/>
        </w:tabs>
        <w:ind w:left="5760" w:hanging="360"/>
      </w:pPr>
    </w:lvl>
    <w:lvl w:ilvl="8" w:tplc="0413001B">
      <w:start w:val="1"/>
      <w:numFmt w:val="decimal"/>
      <w:lvlText w:val="%9."/>
      <w:lvlJc w:val="left"/>
      <w:pPr>
        <w:tabs>
          <w:tab w:val="num" w:pos="6480"/>
        </w:tabs>
        <w:ind w:left="6480" w:hanging="360"/>
      </w:pPr>
    </w:lvl>
  </w:abstractNum>
  <w:abstractNum w:abstractNumId="2">
    <w:nsid w:val="52CE6CDF"/>
    <w:multiLevelType w:val="hybridMultilevel"/>
    <w:tmpl w:val="7C7048D4"/>
    <w:lvl w:ilvl="0" w:tplc="04130001">
      <w:start w:val="1"/>
      <w:numFmt w:val="bullet"/>
      <w:lvlText w:val=""/>
      <w:lvlJc w:val="left"/>
      <w:pPr>
        <w:ind w:left="1800" w:hanging="360"/>
      </w:pPr>
      <w:rPr>
        <w:rFonts w:ascii="Symbol" w:hAnsi="Symbol" w:hint="default"/>
      </w:rPr>
    </w:lvl>
    <w:lvl w:ilvl="1" w:tplc="04130003" w:tentative="1">
      <w:start w:val="1"/>
      <w:numFmt w:val="bullet"/>
      <w:lvlText w:val="o"/>
      <w:lvlJc w:val="left"/>
      <w:pPr>
        <w:ind w:left="2520" w:hanging="360"/>
      </w:pPr>
      <w:rPr>
        <w:rFonts w:ascii="Courier New" w:hAnsi="Courier New" w:cs="Courier New" w:hint="default"/>
      </w:rPr>
    </w:lvl>
    <w:lvl w:ilvl="2" w:tplc="04130005" w:tentative="1">
      <w:start w:val="1"/>
      <w:numFmt w:val="bullet"/>
      <w:lvlText w:val=""/>
      <w:lvlJc w:val="left"/>
      <w:pPr>
        <w:ind w:left="3240" w:hanging="360"/>
      </w:pPr>
      <w:rPr>
        <w:rFonts w:ascii="Wingdings" w:hAnsi="Wingdings" w:hint="default"/>
      </w:rPr>
    </w:lvl>
    <w:lvl w:ilvl="3" w:tplc="04130001" w:tentative="1">
      <w:start w:val="1"/>
      <w:numFmt w:val="bullet"/>
      <w:lvlText w:val=""/>
      <w:lvlJc w:val="left"/>
      <w:pPr>
        <w:ind w:left="3960" w:hanging="360"/>
      </w:pPr>
      <w:rPr>
        <w:rFonts w:ascii="Symbol" w:hAnsi="Symbol" w:hint="default"/>
      </w:rPr>
    </w:lvl>
    <w:lvl w:ilvl="4" w:tplc="04130003" w:tentative="1">
      <w:start w:val="1"/>
      <w:numFmt w:val="bullet"/>
      <w:lvlText w:val="o"/>
      <w:lvlJc w:val="left"/>
      <w:pPr>
        <w:ind w:left="4680" w:hanging="360"/>
      </w:pPr>
      <w:rPr>
        <w:rFonts w:ascii="Courier New" w:hAnsi="Courier New" w:cs="Courier New" w:hint="default"/>
      </w:rPr>
    </w:lvl>
    <w:lvl w:ilvl="5" w:tplc="04130005" w:tentative="1">
      <w:start w:val="1"/>
      <w:numFmt w:val="bullet"/>
      <w:lvlText w:val=""/>
      <w:lvlJc w:val="left"/>
      <w:pPr>
        <w:ind w:left="5400" w:hanging="360"/>
      </w:pPr>
      <w:rPr>
        <w:rFonts w:ascii="Wingdings" w:hAnsi="Wingdings" w:hint="default"/>
      </w:rPr>
    </w:lvl>
    <w:lvl w:ilvl="6" w:tplc="04130001" w:tentative="1">
      <w:start w:val="1"/>
      <w:numFmt w:val="bullet"/>
      <w:lvlText w:val=""/>
      <w:lvlJc w:val="left"/>
      <w:pPr>
        <w:ind w:left="6120" w:hanging="360"/>
      </w:pPr>
      <w:rPr>
        <w:rFonts w:ascii="Symbol" w:hAnsi="Symbol" w:hint="default"/>
      </w:rPr>
    </w:lvl>
    <w:lvl w:ilvl="7" w:tplc="04130003" w:tentative="1">
      <w:start w:val="1"/>
      <w:numFmt w:val="bullet"/>
      <w:lvlText w:val="o"/>
      <w:lvlJc w:val="left"/>
      <w:pPr>
        <w:ind w:left="6840" w:hanging="360"/>
      </w:pPr>
      <w:rPr>
        <w:rFonts w:ascii="Courier New" w:hAnsi="Courier New" w:cs="Courier New" w:hint="default"/>
      </w:rPr>
    </w:lvl>
    <w:lvl w:ilvl="8" w:tplc="04130005" w:tentative="1">
      <w:start w:val="1"/>
      <w:numFmt w:val="bullet"/>
      <w:lvlText w:val=""/>
      <w:lvlJc w:val="left"/>
      <w:pPr>
        <w:ind w:left="756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D233A9"/>
    <w:rsid w:val="00041658"/>
    <w:rsid w:val="000F301A"/>
    <w:rsid w:val="00197AEC"/>
    <w:rsid w:val="0029063E"/>
    <w:rsid w:val="00552281"/>
    <w:rsid w:val="005D6E01"/>
    <w:rsid w:val="00723155"/>
    <w:rsid w:val="00873C49"/>
    <w:rsid w:val="00880A85"/>
    <w:rsid w:val="00971626"/>
    <w:rsid w:val="00A17C6E"/>
    <w:rsid w:val="00A3447D"/>
    <w:rsid w:val="00CB3F91"/>
    <w:rsid w:val="00CF5DE4"/>
    <w:rsid w:val="00D233A9"/>
    <w:rsid w:val="00E25E2D"/>
    <w:rsid w:val="00E66390"/>
    <w:rsid w:val="00F22CDC"/>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D233A9"/>
    <w:pPr>
      <w:spacing w:after="0" w:line="240" w:lineRule="auto"/>
    </w:pPr>
    <w:rPr>
      <w:rFonts w:ascii="Calibri" w:eastAsia="Calibri" w:hAnsi="Calibri" w:cs="Times New Roman"/>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495</Words>
  <Characters>2723</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
    </vt:vector>
  </TitlesOfParts>
  <Company>Rijksoverheid</Company>
  <LinksUpToDate>false</LinksUpToDate>
  <CharactersWithSpaces>3212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LWolters</dc:creator>
  <cp:lastModifiedBy>Bettine Hilbrands</cp:lastModifiedBy>
  <cp:revision>2</cp:revision>
  <dcterms:created xsi:type="dcterms:W3CDTF">2016-11-30T16:18:00Z</dcterms:created>
  <dcterms:modified xsi:type="dcterms:W3CDTF">2016-11-30T16:18:00Z</dcterms:modified>
</cp:coreProperties>
</file>